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3862DB" w:rsidP="00705F53">
      <w:pPr>
        <w:pStyle w:val="TableParagraph"/>
        <w:jc w:val="center"/>
        <w:rPr>
          <w:w w:val="90"/>
        </w:rPr>
      </w:pPr>
      <w:r w:rsidRPr="003862DB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285"/>
        <w:gridCol w:w="567"/>
        <w:gridCol w:w="1976"/>
        <w:gridCol w:w="1135"/>
        <w:gridCol w:w="1283"/>
        <w:gridCol w:w="1413"/>
        <w:gridCol w:w="1564"/>
        <w:gridCol w:w="1197"/>
        <w:gridCol w:w="1330"/>
        <w:gridCol w:w="1299"/>
        <w:gridCol w:w="2105"/>
      </w:tblGrid>
      <w:tr w:rsidR="00705F53" w:rsidRPr="004810BD" w:rsidTr="00E22ADD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4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E22ADD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5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19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E22ADD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E22ADD" w:rsidP="007639EB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Новокщенова Марфа </w:t>
            </w:r>
            <w:proofErr w:type="spellStart"/>
            <w:r>
              <w:rPr>
                <w:sz w:val="20"/>
                <w:szCs w:val="20"/>
                <w:lang w:val="ru-RU"/>
              </w:rPr>
              <w:t>Зотьевна</w:t>
            </w:r>
            <w:proofErr w:type="spellEnd"/>
          </w:p>
        </w:tc>
        <w:tc>
          <w:tcPr>
            <w:tcW w:w="5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2ADD" w:rsidRDefault="00E22ADD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06.01.</w:t>
            </w:r>
          </w:p>
          <w:p w:rsidR="00705F53" w:rsidRPr="004810BD" w:rsidRDefault="007639EB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1923г.</w:t>
            </w:r>
          </w:p>
        </w:tc>
        <w:tc>
          <w:tcPr>
            <w:tcW w:w="19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Default="00E22ADD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Село </w:t>
            </w:r>
            <w:proofErr w:type="spellStart"/>
            <w:r>
              <w:rPr>
                <w:sz w:val="20"/>
                <w:szCs w:val="20"/>
                <w:lang w:val="ru-RU"/>
              </w:rPr>
              <w:t>Макарово</w:t>
            </w:r>
            <w:proofErr w:type="spellEnd"/>
          </w:p>
          <w:p w:rsidR="00E22ADD" w:rsidRDefault="00E22ADD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Грибановского района </w:t>
            </w:r>
          </w:p>
          <w:p w:rsidR="00E22ADD" w:rsidRPr="004810BD" w:rsidRDefault="00E22ADD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Воронежской области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8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Pr="004810BD" w:rsidRDefault="00E22ADD" w:rsidP="00E22ADD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 04 апреля 1943г. по 07 июля 1943г. состояла в 272 </w:t>
            </w:r>
            <w:proofErr w:type="spellStart"/>
            <w:r>
              <w:rPr>
                <w:sz w:val="20"/>
                <w:szCs w:val="20"/>
                <w:lang w:val="ru-RU"/>
              </w:rPr>
              <w:t>эвакгоспитале-санитарка</w:t>
            </w:r>
            <w:proofErr w:type="spellEnd"/>
          </w:p>
        </w:tc>
        <w:tc>
          <w:tcPr>
            <w:tcW w:w="15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E22ADD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Вольнонаемная </w:t>
            </w:r>
          </w:p>
        </w:tc>
        <w:tc>
          <w:tcPr>
            <w:tcW w:w="119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Pr="004810BD" w:rsidRDefault="007639EB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E22ADD" w:rsidP="00705F5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Умерла 12.06.2005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3862DB"/>
    <w:rsid w:val="00705F53"/>
    <w:rsid w:val="007639EB"/>
    <w:rsid w:val="00876748"/>
    <w:rsid w:val="008D0A73"/>
    <w:rsid w:val="00B16BE2"/>
    <w:rsid w:val="00E2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2022-04-15T03:57:00Z</dcterms:created>
  <dcterms:modified xsi:type="dcterms:W3CDTF">2022-05-13T05:15:00Z</dcterms:modified>
</cp:coreProperties>
</file>